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CC2F9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附件1：</w:t>
      </w:r>
    </w:p>
    <w:p w14:paraId="27EB5525">
      <w:pPr>
        <w:widowControl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Cs w:val="21"/>
          <w:lang w:eastAsia="zh-CN"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一、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  <w:t>项目名称：</w:t>
      </w:r>
      <w:bookmarkStart w:id="0" w:name="_GoBack"/>
      <w:r>
        <w:rPr>
          <w:rFonts w:hint="eastAsia" w:ascii="宋体" w:hAnsi="宋体" w:cs="宋体"/>
          <w:color w:val="000000"/>
          <w:kern w:val="0"/>
          <w:szCs w:val="21"/>
          <w:lang w:eastAsia="zh-CN" w:bidi="ar"/>
        </w:rPr>
        <w:t>中雅培粹未央学校空调采购项目</w:t>
      </w:r>
      <w:bookmarkEnd w:id="0"/>
    </w:p>
    <w:p w14:paraId="68C8CDF3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auto"/>
          <w:kern w:val="0"/>
          <w:szCs w:val="21"/>
          <w:highlight w:val="none"/>
          <w:lang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二、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  <w:t>预算金额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：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 w:bidi="ar"/>
        </w:rPr>
        <w:t>168000</w:t>
      </w:r>
      <w:r>
        <w:rPr>
          <w:rFonts w:ascii="宋体" w:hAnsi="宋体" w:cs="宋体"/>
          <w:color w:val="auto"/>
          <w:kern w:val="0"/>
          <w:szCs w:val="21"/>
          <w:highlight w:val="none"/>
          <w:lang w:bidi="ar"/>
        </w:rPr>
        <w:t>.00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bidi="ar"/>
        </w:rPr>
        <w:t>元</w:t>
      </w:r>
    </w:p>
    <w:p w14:paraId="4BF3963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三、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bidi="ar"/>
        </w:rPr>
        <w:t>技术规格、参数与要求</w:t>
      </w:r>
    </w:p>
    <w:tbl>
      <w:tblPr>
        <w:tblStyle w:val="2"/>
        <w:tblW w:w="1006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992"/>
        <w:gridCol w:w="5245"/>
        <w:gridCol w:w="708"/>
        <w:gridCol w:w="709"/>
        <w:gridCol w:w="851"/>
        <w:gridCol w:w="850"/>
      </w:tblGrid>
      <w:tr w14:paraId="03A86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noWrap/>
            <w:vAlign w:val="center"/>
          </w:tcPr>
          <w:p w14:paraId="752CB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2" w:type="dxa"/>
            <w:noWrap/>
            <w:vAlign w:val="center"/>
          </w:tcPr>
          <w:p w14:paraId="417D2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品目</w:t>
            </w:r>
          </w:p>
        </w:tc>
        <w:tc>
          <w:tcPr>
            <w:tcW w:w="5245" w:type="dxa"/>
            <w:noWrap/>
            <w:vAlign w:val="center"/>
          </w:tcPr>
          <w:p w14:paraId="47D76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技术参数</w:t>
            </w:r>
          </w:p>
        </w:tc>
        <w:tc>
          <w:tcPr>
            <w:tcW w:w="708" w:type="dxa"/>
            <w:noWrap/>
            <w:vAlign w:val="center"/>
          </w:tcPr>
          <w:p w14:paraId="36F7F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09" w:type="dxa"/>
            <w:noWrap/>
            <w:vAlign w:val="center"/>
          </w:tcPr>
          <w:p w14:paraId="7F20E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851" w:type="dxa"/>
            <w:noWrap/>
            <w:vAlign w:val="center"/>
          </w:tcPr>
          <w:p w14:paraId="2D248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预算</w:t>
            </w:r>
          </w:p>
          <w:p w14:paraId="2C538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850" w:type="dxa"/>
            <w:noWrap/>
            <w:vAlign w:val="center"/>
          </w:tcPr>
          <w:p w14:paraId="50431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预算</w:t>
            </w:r>
          </w:p>
          <w:p w14:paraId="69414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总价</w:t>
            </w:r>
          </w:p>
        </w:tc>
      </w:tr>
      <w:tr w14:paraId="08FA8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10" w:type="dxa"/>
            <w:noWrap/>
            <w:vAlign w:val="center"/>
          </w:tcPr>
          <w:p w14:paraId="60B2D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054F2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空调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柜机</w:t>
            </w:r>
          </w:p>
        </w:tc>
        <w:tc>
          <w:tcPr>
            <w:tcW w:w="5245" w:type="dxa"/>
            <w:noWrap w:val="0"/>
            <w:vAlign w:val="center"/>
          </w:tcPr>
          <w:p w14:paraId="11178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1.10P变频冷暖</w:t>
            </w:r>
          </w:p>
          <w:p w14:paraId="3F62B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2.能耗等级二级；</w:t>
            </w:r>
          </w:p>
          <w:p w14:paraId="4CCD4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3.制冷量：≥28000W；</w:t>
            </w:r>
          </w:p>
          <w:p w14:paraId="6280D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4.制冷额定输入功率：≤12000W；</w:t>
            </w:r>
          </w:p>
          <w:p w14:paraId="37FB7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5.APF值（全年能效消耗效率）：≥3.05；</w:t>
            </w:r>
          </w:p>
          <w:p w14:paraId="36EA3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6.制热量：≥28100W；</w:t>
            </w:r>
          </w:p>
          <w:p w14:paraId="34801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7.制热额定输入功率：≤9200W；</w:t>
            </w:r>
          </w:p>
          <w:p w14:paraId="10456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8.电热功率：≥6000W；</w:t>
            </w:r>
          </w:p>
          <w:p w14:paraId="41F98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9.循环风量：≥4500 m³/h；</w:t>
            </w:r>
          </w:p>
          <w:p w14:paraId="465F7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10.内机噪音：≤60dB；</w:t>
            </w:r>
          </w:p>
          <w:p w14:paraId="0778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11.外机噪音：≤62dB；</w:t>
            </w:r>
          </w:p>
          <w:p w14:paraId="3481E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 w14:paraId="0404B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安装环境：内外机高差20米，横向距离8米至25米不等；</w:t>
            </w:r>
          </w:p>
          <w:p w14:paraId="51056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配套铜管（含配套铜管、电源线等物料）≥220米；</w:t>
            </w:r>
          </w:p>
          <w:p w14:paraId="7D3AF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含安装、开孔、各项附属物料、外机吊运、安全措施保障等全部项目。</w:t>
            </w:r>
          </w:p>
        </w:tc>
        <w:tc>
          <w:tcPr>
            <w:tcW w:w="708" w:type="dxa"/>
            <w:noWrap w:val="0"/>
            <w:vAlign w:val="center"/>
          </w:tcPr>
          <w:p w14:paraId="6DD92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09" w:type="dxa"/>
            <w:noWrap w:val="0"/>
            <w:vAlign w:val="center"/>
          </w:tcPr>
          <w:p w14:paraId="313AB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851" w:type="dxa"/>
            <w:noWrap w:val="0"/>
            <w:vAlign w:val="center"/>
          </w:tcPr>
          <w:p w14:paraId="24E9E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28000</w:t>
            </w:r>
          </w:p>
        </w:tc>
        <w:tc>
          <w:tcPr>
            <w:tcW w:w="850" w:type="dxa"/>
            <w:noWrap w:val="0"/>
            <w:vAlign w:val="center"/>
          </w:tcPr>
          <w:p w14:paraId="1FF2F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168000</w:t>
            </w:r>
          </w:p>
        </w:tc>
      </w:tr>
      <w:tr w14:paraId="01BDD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215" w:type="dxa"/>
            <w:gridSpan w:val="6"/>
            <w:noWrap/>
            <w:vAlign w:val="center"/>
          </w:tcPr>
          <w:p w14:paraId="7BAC4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850" w:type="dxa"/>
            <w:noWrap/>
            <w:vAlign w:val="center"/>
          </w:tcPr>
          <w:p w14:paraId="6D9E6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168000</w:t>
            </w:r>
          </w:p>
        </w:tc>
      </w:tr>
    </w:tbl>
    <w:p w14:paraId="54D57D72">
      <w:pPr>
        <w:rPr>
          <w:rFonts w:hint="eastAsia"/>
          <w:b/>
          <w:szCs w:val="21"/>
          <w:lang w:eastAsia="zh-CN"/>
        </w:rPr>
      </w:pPr>
    </w:p>
    <w:p w14:paraId="68014AC6">
      <w:pPr>
        <w:rPr>
          <w:rFonts w:hint="eastAsia"/>
          <w:b/>
          <w:szCs w:val="21"/>
          <w:lang w:eastAsia="zh-CN"/>
        </w:rPr>
      </w:pPr>
    </w:p>
    <w:p w14:paraId="4C43B74F">
      <w:pPr>
        <w:rPr>
          <w:rFonts w:hint="eastAsia"/>
          <w:b/>
          <w:szCs w:val="21"/>
        </w:rPr>
      </w:pPr>
      <w:r>
        <w:rPr>
          <w:rFonts w:hint="eastAsia"/>
          <w:b/>
          <w:szCs w:val="21"/>
          <w:lang w:eastAsia="zh-CN"/>
        </w:rPr>
        <w:t>四</w:t>
      </w:r>
      <w:r>
        <w:rPr>
          <w:rFonts w:hint="eastAsia"/>
          <w:b/>
          <w:szCs w:val="21"/>
        </w:rPr>
        <w:t>、供货要求：</w:t>
      </w:r>
    </w:p>
    <w:p w14:paraId="5ABF9715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附件及零配件（包括专用工具）、备品备件的要求</w:t>
      </w:r>
    </w:p>
    <w:p w14:paraId="16B7ABE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保证产品能正常使用的附件、备品备件及项目清单中要求提供的零配件和备品备件等。</w:t>
      </w:r>
    </w:p>
    <w:p w14:paraId="6EB6CE99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产品运输、保险及保管</w:t>
      </w:r>
    </w:p>
    <w:p w14:paraId="30D72659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2.1成交供应商负责产品在采购人指定地点的保管，直至项目验收合格。</w:t>
      </w:r>
    </w:p>
    <w:p w14:paraId="6794D08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2.2成交供应商负责其派出的工作人员的人身意外保险。</w:t>
      </w:r>
    </w:p>
    <w:p w14:paraId="5BE8D1F4">
      <w:pPr>
        <w:spacing w:line="360" w:lineRule="auto"/>
        <w:ind w:firstLine="420" w:firstLineChars="200"/>
        <w:rPr>
          <w:kern w:val="0"/>
          <w:szCs w:val="21"/>
        </w:rPr>
      </w:pPr>
      <w:r>
        <w:rPr>
          <w:rFonts w:hint="eastAsia"/>
          <w:kern w:val="0"/>
          <w:szCs w:val="21"/>
        </w:rPr>
        <w:t>3</w:t>
      </w:r>
      <w:r>
        <w:rPr>
          <w:rFonts w:hint="eastAsia"/>
          <w:kern w:val="0"/>
          <w:szCs w:val="21"/>
          <w:lang w:val="en-US" w:eastAsia="zh-CN"/>
        </w:rPr>
        <w:t>.</w:t>
      </w:r>
      <w:r>
        <w:rPr>
          <w:rFonts w:hint="eastAsia"/>
          <w:kern w:val="0"/>
          <w:szCs w:val="21"/>
        </w:rPr>
        <w:t>项目验收</w:t>
      </w:r>
    </w:p>
    <w:p w14:paraId="66B264C1">
      <w:pPr>
        <w:spacing w:line="360" w:lineRule="auto"/>
        <w:ind w:firstLine="420" w:firstLineChars="200"/>
        <w:rPr>
          <w:szCs w:val="21"/>
          <w:lang w:bidi="ar"/>
        </w:rPr>
      </w:pPr>
      <w:r>
        <w:rPr>
          <w:rFonts w:hint="eastAsia"/>
          <w:szCs w:val="21"/>
        </w:rPr>
        <w:t>3.1项目验收不合格，由成交供应商返工直至合格，有关返工、再行验收，以及给采购人造成的损失等费用由成交供应商承担。连续两次项目验收不合格的，采购人可终止合同，另行按规定选择其他供应商采购，由此带来的一切损失由成交供应商承担。</w:t>
      </w:r>
    </w:p>
    <w:p w14:paraId="1A9FDAA7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质量保证</w:t>
      </w:r>
    </w:p>
    <w:p w14:paraId="347E7166">
      <w:pPr>
        <w:spacing w:line="360" w:lineRule="auto"/>
        <w:ind w:firstLine="420" w:firstLineChars="200"/>
        <w:rPr>
          <w:szCs w:val="21"/>
          <w:highlight w:val="none"/>
        </w:rPr>
      </w:pPr>
      <w:r>
        <w:rPr>
          <w:rFonts w:hint="eastAsia"/>
          <w:szCs w:val="21"/>
        </w:rPr>
        <w:t>4.1 所有供货产品</w:t>
      </w:r>
      <w:r>
        <w:rPr>
          <w:rFonts w:hint="eastAsia"/>
          <w:szCs w:val="21"/>
          <w:lang w:val="en-US" w:eastAsia="zh-CN"/>
        </w:rPr>
        <w:t>整体3年质保</w:t>
      </w:r>
      <w:r>
        <w:rPr>
          <w:rFonts w:hint="eastAsia"/>
          <w:szCs w:val="21"/>
        </w:rPr>
        <w:t>，质保期从验收合格之日开始计算。</w:t>
      </w:r>
      <w:r>
        <w:rPr>
          <w:rFonts w:hint="eastAsia"/>
          <w:szCs w:val="21"/>
          <w:highlight w:val="none"/>
          <w:lang w:val="en-US" w:eastAsia="zh-CN"/>
        </w:rPr>
        <w:t>提供所投空调产品制造商针对本项目的售后服务承诺书（加盖制造商公章），否则视为无效投标。</w:t>
      </w:r>
    </w:p>
    <w:p w14:paraId="22AA766C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4.2 成交供应商需在4小时内对采购人所提出的售后要求做出实质性响应，24小时内到达现场进行处置。</w:t>
      </w:r>
    </w:p>
    <w:p w14:paraId="4E8C1266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售后服务</w:t>
      </w:r>
    </w:p>
    <w:p w14:paraId="0B014F7B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5.1设备维修要求提交以下内容</w:t>
      </w:r>
    </w:p>
    <w:p w14:paraId="16D95AB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1）定期维修计划。</w:t>
      </w:r>
    </w:p>
    <w:p w14:paraId="1980CDA2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2）对采购人不定期维修要求的响应措施。</w:t>
      </w:r>
    </w:p>
    <w:p w14:paraId="3C1FF07F">
      <w:pPr>
        <w:spacing w:line="360" w:lineRule="auto"/>
        <w:ind w:left="420" w:leftChars="200"/>
        <w:rPr>
          <w:rFonts w:hint="eastAsia"/>
          <w:szCs w:val="21"/>
        </w:rPr>
      </w:pPr>
      <w:r>
        <w:rPr>
          <w:rFonts w:hint="eastAsia"/>
          <w:szCs w:val="21"/>
        </w:rPr>
        <w:t>3）对用户修改设计要求的响应措施。</w:t>
      </w:r>
    </w:p>
    <w:p w14:paraId="5D2A1792">
      <w:pPr>
        <w:spacing w:line="360" w:lineRule="auto"/>
        <w:ind w:left="0" w:leftChars="0" w:firstLine="420" w:firstLineChars="200"/>
        <w:rPr>
          <w:szCs w:val="21"/>
        </w:rPr>
      </w:pPr>
      <w:r>
        <w:rPr>
          <w:rFonts w:hint="eastAsia"/>
          <w:szCs w:val="21"/>
        </w:rPr>
        <w:t>5.2 质保期内出现任何质量问题（人为破坏或自然灾害等不可抗力除外），由成交供应商负责全免费（免全部工时费、材料费、管理费、财务费等等）更换或维修。质保期满后，无论采购人是否另行选择维保供应商，成交供应商应及时优惠提供所需的备品备件。</w:t>
      </w:r>
    </w:p>
    <w:p w14:paraId="134A792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交货时间、地点及方式</w:t>
      </w:r>
    </w:p>
    <w:p w14:paraId="74A11CEE">
      <w:pPr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6.1交货时间：在规定的时间内签订合同后，成交供应商应</w:t>
      </w:r>
      <w:r>
        <w:rPr>
          <w:rFonts w:hint="eastAsia"/>
          <w:szCs w:val="21"/>
          <w:lang w:eastAsia="zh-CN"/>
        </w:rPr>
        <w:t>在接到</w:t>
      </w:r>
      <w:r>
        <w:rPr>
          <w:rFonts w:hint="eastAsia"/>
          <w:szCs w:val="21"/>
        </w:rPr>
        <w:t>甲方</w:t>
      </w:r>
      <w:r>
        <w:rPr>
          <w:rFonts w:hint="eastAsia"/>
          <w:szCs w:val="21"/>
          <w:lang w:eastAsia="zh-CN"/>
        </w:rPr>
        <w:t>安装</w:t>
      </w:r>
      <w:r>
        <w:rPr>
          <w:rFonts w:hint="eastAsia"/>
          <w:szCs w:val="21"/>
        </w:rPr>
        <w:t>要求15天内完成交货。</w:t>
      </w:r>
    </w:p>
    <w:p w14:paraId="035EE445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6.2交货地点：</w:t>
      </w:r>
      <w:r>
        <w:rPr>
          <w:rFonts w:hint="eastAsia"/>
          <w:szCs w:val="21"/>
          <w:lang w:eastAsia="zh-CN"/>
        </w:rPr>
        <w:t>长沙市天心区新开铺路</w:t>
      </w:r>
      <w:r>
        <w:rPr>
          <w:rFonts w:hint="eastAsia"/>
          <w:szCs w:val="21"/>
          <w:lang w:val="en-US" w:eastAsia="zh-CN"/>
        </w:rPr>
        <w:t>1361号，长沙市中雅培粹未央学校</w:t>
      </w:r>
      <w:r>
        <w:rPr>
          <w:rFonts w:hint="eastAsia"/>
          <w:szCs w:val="21"/>
        </w:rPr>
        <w:t>。</w:t>
      </w:r>
    </w:p>
    <w:p w14:paraId="6FBD3B8F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6.3交货方式：成交供应商将货物运至采购人指定地点直至验收合格；由成交供应商承担验收前的一切风险、责任和费用。</w:t>
      </w:r>
    </w:p>
    <w:p w14:paraId="133EEBEA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7</w:t>
      </w:r>
      <w:r>
        <w:rPr>
          <w:rFonts w:hint="eastAsia"/>
          <w:szCs w:val="21"/>
          <w:lang w:val="en-US" w:eastAsia="zh-CN"/>
        </w:rPr>
        <w:t>.</w:t>
      </w:r>
      <w:r>
        <w:rPr>
          <w:rFonts w:hint="eastAsia"/>
          <w:szCs w:val="21"/>
        </w:rPr>
        <w:t>结算方法</w:t>
      </w:r>
    </w:p>
    <w:p w14:paraId="5FD3D90C">
      <w:pPr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7.1付款人：长沙市</w:t>
      </w:r>
      <w:r>
        <w:rPr>
          <w:rFonts w:hint="eastAsia"/>
          <w:szCs w:val="21"/>
          <w:lang w:val="en-US" w:eastAsia="zh-CN"/>
        </w:rPr>
        <w:t>中雅培粹未央学校</w:t>
      </w:r>
      <w:r>
        <w:rPr>
          <w:rFonts w:hint="eastAsia"/>
          <w:szCs w:val="21"/>
        </w:rPr>
        <w:t>(国库集中支付)。</w:t>
      </w:r>
    </w:p>
    <w:p w14:paraId="7D2B9C50">
      <w:pPr>
        <w:spacing w:line="360" w:lineRule="auto"/>
        <w:ind w:firstLine="420" w:firstLineChars="200"/>
        <w:rPr>
          <w:rFonts w:hint="eastAsia"/>
          <w:szCs w:val="21"/>
          <w:highlight w:val="none"/>
          <w:lang w:bidi="ar"/>
        </w:rPr>
      </w:pPr>
      <w:r>
        <w:rPr>
          <w:rFonts w:hint="eastAsia"/>
          <w:szCs w:val="21"/>
        </w:rPr>
        <w:t>7.2付款方式：</w:t>
      </w:r>
      <w:r>
        <w:rPr>
          <w:rFonts w:hint="eastAsia"/>
          <w:szCs w:val="21"/>
          <w:lang w:bidi="ar"/>
        </w:rPr>
        <w:t>除合同另有规定外，双方签定合同后，按采购人货物需求量交货，经业主验收合格后，</w:t>
      </w:r>
      <w:r>
        <w:rPr>
          <w:rFonts w:hint="eastAsia"/>
          <w:szCs w:val="21"/>
          <w:highlight w:val="none"/>
          <w:lang w:eastAsia="zh-CN" w:bidi="ar"/>
        </w:rPr>
        <w:t>按政府采购规定的货款支付步骤</w:t>
      </w:r>
      <w:r>
        <w:rPr>
          <w:rFonts w:hint="eastAsia"/>
          <w:szCs w:val="21"/>
          <w:highlight w:val="none"/>
          <w:lang w:bidi="ar"/>
        </w:rPr>
        <w:t>支付相应金额。</w:t>
      </w:r>
    </w:p>
    <w:p w14:paraId="4B516599">
      <w:pPr>
        <w:spacing w:line="360" w:lineRule="auto"/>
        <w:ind w:firstLine="420" w:firstLineChars="200"/>
        <w:rPr>
          <w:rFonts w:hint="eastAsia"/>
          <w:szCs w:val="21"/>
          <w:lang w:bidi="ar"/>
        </w:rPr>
      </w:pPr>
      <w:r>
        <w:rPr>
          <w:rFonts w:hint="eastAsia"/>
          <w:szCs w:val="21"/>
          <w:lang w:bidi="ar"/>
        </w:rPr>
        <w:t>8</w:t>
      </w:r>
      <w:r>
        <w:rPr>
          <w:rFonts w:hint="eastAsia"/>
          <w:szCs w:val="21"/>
          <w:lang w:val="en-US" w:eastAsia="zh-CN" w:bidi="ar"/>
        </w:rPr>
        <w:t>.</w:t>
      </w:r>
      <w:r>
        <w:rPr>
          <w:rFonts w:hint="eastAsia"/>
          <w:szCs w:val="21"/>
          <w:lang w:bidi="ar"/>
        </w:rPr>
        <w:t>验收标准</w:t>
      </w:r>
    </w:p>
    <w:p w14:paraId="0042C9E2">
      <w:pPr>
        <w:autoSpaceDE w:val="0"/>
        <w:spacing w:line="360" w:lineRule="auto"/>
        <w:ind w:firstLine="420" w:firstLineChars="200"/>
      </w:pPr>
      <w:r>
        <w:rPr>
          <w:rFonts w:hint="eastAsia"/>
        </w:rPr>
        <w:t>8.1</w:t>
      </w:r>
      <w:r>
        <w:rPr>
          <w:rFonts w:ascii="宋体" w:hAnsi="宋体"/>
        </w:rPr>
        <w:t>本项目按《关于加强长沙市政府采购项目履约验收工作的通知》（长财采购</w:t>
      </w:r>
      <w:r>
        <w:t>[2024]5</w:t>
      </w:r>
      <w:r>
        <w:rPr>
          <w:rFonts w:ascii="宋体" w:hAnsi="宋体"/>
        </w:rPr>
        <w:t xml:space="preserve">号文）的规定进行验收。验收报告作为申请支付最后一期款的凭证之一。 </w:t>
      </w:r>
    </w:p>
    <w:p w14:paraId="7366B452">
      <w:pPr>
        <w:autoSpaceDE w:val="0"/>
        <w:spacing w:line="360" w:lineRule="auto"/>
        <w:ind w:firstLine="420" w:firstLineChars="200"/>
      </w:pPr>
      <w:r>
        <w:rPr>
          <w:rFonts w:hint="eastAsia"/>
        </w:rPr>
        <w:t>8.2</w:t>
      </w:r>
      <w:r>
        <w:rPr>
          <w:rFonts w:hint="eastAsia" w:ascii="宋体" w:hAnsi="宋体"/>
        </w:rPr>
        <w:t>验收的标准和依据：包括本采购项目的采购文件、中标单位的响应文件、采购合同和有关国家标准与行业规范。</w:t>
      </w:r>
      <w:r>
        <w:t xml:space="preserve"> </w:t>
      </w:r>
    </w:p>
    <w:p w14:paraId="61EF0C18">
      <w:pPr>
        <w:autoSpaceDE w:val="0"/>
        <w:spacing w:line="360" w:lineRule="auto"/>
        <w:ind w:firstLine="420" w:firstLineChars="200"/>
      </w:pPr>
      <w:r>
        <w:rPr>
          <w:rFonts w:hint="eastAsia"/>
        </w:rPr>
        <w:t>8.3</w:t>
      </w:r>
      <w:r>
        <w:rPr>
          <w:rFonts w:ascii="宋体" w:hAnsi="宋体"/>
        </w:rPr>
        <w:t>项目验收中，国家有强制性规定的，按国家规定执行。与本项目有关的国家、行业、地方、团体标准亦成为本项目验收标准。</w:t>
      </w:r>
      <w:r>
        <w:rPr>
          <w:rFonts w:hint="eastAsia" w:ascii="宋体" w:hAnsi="宋体"/>
          <w:lang w:val="en-US" w:eastAsia="zh-CN"/>
        </w:rPr>
        <w:t>询价</w:t>
      </w:r>
      <w:r>
        <w:rPr>
          <w:rFonts w:ascii="宋体" w:hAnsi="宋体"/>
        </w:rPr>
        <w:t>文件、成交人的承诺及</w:t>
      </w:r>
      <w:r>
        <w:rPr>
          <w:rFonts w:hint="eastAsia" w:ascii="宋体" w:hAnsi="宋体"/>
        </w:rPr>
        <w:t>响应</w:t>
      </w:r>
      <w:r>
        <w:rPr>
          <w:rFonts w:ascii="宋体" w:hAnsi="宋体"/>
        </w:rPr>
        <w:t>文件、采购合同及补充协议均成为本项目验收依据。验收过程中产生纠纷或存在异议的，由质量技术监督部门认定的检测机构检测，出具检测报告，检测费用由成交人承担。</w:t>
      </w:r>
      <w:r>
        <w:t xml:space="preserve"> </w:t>
      </w:r>
    </w:p>
    <w:p w14:paraId="5CF57A02">
      <w:pPr>
        <w:spacing w:line="360" w:lineRule="auto"/>
        <w:ind w:firstLine="420" w:firstLineChars="200"/>
        <w:rPr>
          <w:rFonts w:hint="eastAsia"/>
          <w:szCs w:val="21"/>
          <w:lang w:bidi="ar"/>
        </w:rPr>
      </w:pPr>
      <w:r>
        <w:rPr>
          <w:rFonts w:hint="eastAsia"/>
        </w:rPr>
        <w:t>8.4</w:t>
      </w:r>
      <w:r>
        <w:rPr>
          <w:rFonts w:ascii="宋体" w:hAnsi="宋体"/>
        </w:rPr>
        <w:t>项目验收不合格，由成交人返工直至合格，有关返工、再行验收，以及给采购人造成的损失等费用由成交人承担</w:t>
      </w:r>
      <w:r>
        <w:rPr>
          <w:rFonts w:hint="eastAsia" w:ascii="宋体" w:hAnsi="宋体"/>
          <w:lang w:eastAsia="zh-CN"/>
        </w:rPr>
        <w:t>。</w:t>
      </w:r>
      <w:r>
        <w:rPr>
          <w:rFonts w:ascii="宋体" w:hAnsi="宋体"/>
        </w:rPr>
        <w:t>连续两次项目验收不合格的，</w:t>
      </w:r>
      <w:r>
        <w:rPr>
          <w:rFonts w:hint="eastAsia" w:ascii="宋体" w:hAnsi="宋体"/>
        </w:rPr>
        <w:t>采购人</w:t>
      </w:r>
      <w:r>
        <w:rPr>
          <w:rFonts w:ascii="宋体" w:hAnsi="宋体"/>
        </w:rPr>
        <w:t>可终止合同，另行按规定选择其他中标候选人，由此带来的一切损失由成交人承担。</w:t>
      </w:r>
    </w:p>
    <w:p w14:paraId="554FD760">
      <w:pPr>
        <w:widowControl/>
        <w:numPr>
          <w:ilvl w:val="0"/>
          <w:numId w:val="1"/>
        </w:numPr>
        <w:spacing w:line="360" w:lineRule="auto"/>
        <w:ind w:firstLine="420"/>
        <w:jc w:val="left"/>
        <w:rPr>
          <w:rFonts w:hint="eastAsia" w:ascii="宋体" w:hAnsi="宋体" w:cs="宋体"/>
          <w:b/>
          <w:bCs/>
          <w:color w:val="000000"/>
          <w:szCs w:val="21"/>
        </w:rPr>
      </w:pPr>
      <w:r>
        <w:rPr>
          <w:rFonts w:hint="eastAsia" w:ascii="宋体" w:hAnsi="宋体" w:cs="宋体"/>
          <w:b/>
          <w:bCs/>
          <w:color w:val="000000"/>
          <w:szCs w:val="21"/>
        </w:rPr>
        <w:t>其它说明</w:t>
      </w:r>
    </w:p>
    <w:p w14:paraId="15EEDA1F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0" w:leftChars="0"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 w:eastAsiaTheme="minorEastAsia"/>
          <w:color w:val="000000"/>
          <w:kern w:val="2"/>
          <w:sz w:val="21"/>
          <w:szCs w:val="21"/>
          <w:lang w:val="en-US" w:eastAsia="zh-CN" w:bidi="ar-SA"/>
        </w:rPr>
        <w:t>1.</w:t>
      </w:r>
      <w:r>
        <w:rPr>
          <w:rFonts w:hint="eastAsia" w:ascii="宋体" w:hAnsi="宋体" w:cs="宋体"/>
          <w:color w:val="000000"/>
          <w:szCs w:val="21"/>
        </w:rPr>
        <w:t>本项目采用费用包干方式</w:t>
      </w:r>
      <w:r>
        <w:rPr>
          <w:rFonts w:hint="eastAsia" w:ascii="宋体" w:hAnsi="宋体" w:cs="宋体"/>
          <w:color w:val="000000"/>
          <w:szCs w:val="21"/>
          <w:lang w:eastAsia="zh-CN"/>
        </w:rPr>
        <w:t>供货</w:t>
      </w:r>
      <w:r>
        <w:rPr>
          <w:rFonts w:hint="eastAsia" w:ascii="宋体" w:hAnsi="宋体" w:cs="宋体"/>
          <w:color w:val="000000"/>
          <w:szCs w:val="21"/>
        </w:rPr>
        <w:t>，供应商应根据项目要求和现场情况，详细列明项目所需的设备及材料购置，以及产品运输保险保管、项目安装调试、试运行测试通过验收、培训、质保期免费保修维护等所有人工、管理、财务等所有费用，在项目实施中出现任何遗漏，及辅材杂件均由成交供应商免费提供，采购人不再支付任何费用。</w:t>
      </w:r>
    </w:p>
    <w:p w14:paraId="507AD065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0" w:leftChars="0" w:firstLine="420" w:firstLineChars="200"/>
        <w:rPr>
          <w:rFonts w:hint="eastAsia" w:ascii="宋体" w:hAnsi="宋体" w:cs="宋体"/>
          <w:color w:val="000000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 w:eastAsiaTheme="minorEastAsia"/>
          <w:color w:val="000000"/>
          <w:kern w:val="2"/>
          <w:sz w:val="21"/>
          <w:szCs w:val="21"/>
          <w:highlight w:val="none"/>
          <w:lang w:val="en-US" w:eastAsia="zh-CN" w:bidi="ar-SA"/>
        </w:rPr>
        <w:t>2.</w:t>
      </w:r>
      <w:r>
        <w:rPr>
          <w:rFonts w:hint="eastAsia" w:ascii="宋体" w:hAnsi="宋体" w:cs="宋体"/>
          <w:color w:val="000000"/>
          <w:kern w:val="2"/>
          <w:sz w:val="21"/>
          <w:szCs w:val="21"/>
          <w:highlight w:val="none"/>
          <w:lang w:val="en-US" w:eastAsia="zh-CN" w:bidi="ar-SA"/>
        </w:rPr>
        <w:t>项目现场情况较复杂，设计图纸只有描述无管道详图，为保障项目中标后顺利施工，须由投标人在开标之前自行踏勘，现场踏勘结束后，投标人应找学校开具现场踏勘证明，并按照踏勘情况进行报价，未踏勘取得现场踏勘证明视为自动放弃投标资格。</w:t>
      </w:r>
    </w:p>
    <w:p w14:paraId="012F60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7FD03D"/>
    <w:multiLevelType w:val="singleLevel"/>
    <w:tmpl w:val="CD7FD03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31B97"/>
    <w:rsid w:val="01F3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2026-07-06T09:57:00Z</dcterms:created>
  <dc:creator>杨三三</dc:creator>
  <cp:lastModifiedBy>杨三三</cp:lastModifiedBy>
  <dcterms:modified xsi:type="dcterms:W3CDTF">2026-07-06T09:58:50Z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CD049FDF93F64DD2BAD2F0B469FFD52C_11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